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61" w:rsidRPr="002F7961" w:rsidRDefault="002F7961" w:rsidP="002F7961">
      <w:pPr>
        <w:widowControl/>
        <w:shd w:val="clear" w:color="auto" w:fill="FFFFFF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Zona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controlo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selado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 xml:space="preserve"> (</w:t>
      </w:r>
      <w:proofErr w:type="spell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código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saúde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cor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 xml:space="preserve"> </w:t>
      </w:r>
      <w:proofErr w:type="spellStart"/>
      <w:proofErr w:type="gram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vermelha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 xml:space="preserve"> )</w:t>
      </w:r>
      <w:proofErr w:type="gram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:</w:t>
      </w:r>
    </w:p>
    <w:p w:rsidR="002F7961" w:rsidRPr="002F7961" w:rsidRDefault="002F7961" w:rsidP="002F7961">
      <w:pPr>
        <w:widowControl/>
        <w:numPr>
          <w:ilvl w:val="0"/>
          <w:numId w:val="1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Edifício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YIM LAI (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Rua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Manuel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Arriaga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n.º 60-66C);</w:t>
      </w:r>
    </w:p>
    <w:p w:rsidR="002F7961" w:rsidRPr="002F7961" w:rsidRDefault="002F7961" w:rsidP="002F7961">
      <w:pPr>
        <w:widowControl/>
        <w:numPr>
          <w:ilvl w:val="0"/>
          <w:numId w:val="1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PADRE Modern Cuisine (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Avenida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da Praia Grande, n</w:t>
      </w:r>
      <w:proofErr w:type="gram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.º</w:t>
      </w:r>
      <w:proofErr w:type="gram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251,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Edifício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. TAK FUNG, R/C B e C);</w:t>
      </w:r>
    </w:p>
    <w:p w:rsidR="002F7961" w:rsidRPr="002F7961" w:rsidRDefault="002F7961" w:rsidP="002F7961">
      <w:pPr>
        <w:widowControl/>
        <w:numPr>
          <w:ilvl w:val="0"/>
          <w:numId w:val="1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Edifício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TAT CHEONG (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Rua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Afonso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Alburquerque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n.º 33-35G);</w:t>
      </w:r>
    </w:p>
    <w:p w:rsidR="002F7961" w:rsidRPr="002F7961" w:rsidRDefault="002F7961" w:rsidP="002F7961">
      <w:pPr>
        <w:widowControl/>
        <w:numPr>
          <w:ilvl w:val="0"/>
          <w:numId w:val="1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Edifício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PARKWAY MANSION,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Bloco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2 (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Rua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do Almirante Costa Cabral n.º 146);</w:t>
      </w:r>
    </w:p>
    <w:p w:rsidR="002F7961" w:rsidRPr="002F7961" w:rsidRDefault="002F7961" w:rsidP="002F7961">
      <w:pPr>
        <w:widowControl/>
        <w:numPr>
          <w:ilvl w:val="0"/>
          <w:numId w:val="1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Centro CHIU FOK (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Rua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Pedro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Coutinho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n.º 23);</w:t>
      </w:r>
    </w:p>
    <w:p w:rsidR="002F7961" w:rsidRPr="002F7961" w:rsidRDefault="002F7961" w:rsidP="002F7961">
      <w:pPr>
        <w:widowControl/>
        <w:numPr>
          <w:ilvl w:val="0"/>
          <w:numId w:val="1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FLOWER CITY – LEI POU KOK (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Avenida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Olímpica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n.º 1</w:t>
      </w:r>
      <w:r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77-259, </w:t>
      </w:r>
      <w:proofErr w:type="spellStart"/>
      <w:r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Rua</w:t>
      </w:r>
      <w:proofErr w:type="spellEnd"/>
      <w:r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Évora</w:t>
      </w:r>
      <w:proofErr w:type="spellEnd"/>
      <w:r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n.º 10-72);</w:t>
      </w:r>
    </w:p>
    <w:p w:rsidR="002F7961" w:rsidRPr="002F7961" w:rsidRDefault="002F7961" w:rsidP="002F7961">
      <w:pPr>
        <w:widowControl/>
        <w:numPr>
          <w:ilvl w:val="0"/>
          <w:numId w:val="1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LAKE VIEW GARDEN(</w:t>
      </w:r>
      <w:proofErr w:type="spellStart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Pra</w:t>
      </w:r>
      <w:r>
        <w:rPr>
          <w:rFonts w:ascii="Helvetica" w:hAnsi="Helvetica" w:cs="Helvetica" w:hint="eastAsia"/>
          <w:color w:val="0A0A0A"/>
          <w:kern w:val="0"/>
          <w:sz w:val="22"/>
          <w:szCs w:val="24"/>
          <w:lang w:eastAsia="zh-TW"/>
        </w:rPr>
        <w:t>ça</w:t>
      </w:r>
      <w:proofErr w:type="spellEnd"/>
      <w:r>
        <w:rPr>
          <w:rFonts w:ascii="Helvetica" w:hAnsi="Helvetica" w:cs="Helvetica" w:hint="eastAsia"/>
          <w:color w:val="0A0A0A"/>
          <w:kern w:val="0"/>
          <w:sz w:val="22"/>
          <w:szCs w:val="24"/>
          <w:lang w:eastAsia="zh-TW"/>
        </w:rPr>
        <w:t xml:space="preserve"> de Lobo de </w:t>
      </w:r>
      <w:r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>Á</w:t>
      </w:r>
      <w:r>
        <w:rPr>
          <w:rFonts w:ascii="Helvetica" w:hAnsi="Helvetica" w:cs="Helvetica" w:hint="eastAsia"/>
          <w:color w:val="0A0A0A"/>
          <w:kern w:val="0"/>
          <w:sz w:val="22"/>
          <w:szCs w:val="24"/>
          <w:lang w:eastAsia="zh-TW"/>
        </w:rPr>
        <w:t>vila 16-18);</w:t>
      </w:r>
    </w:p>
    <w:p w:rsidR="002F7961" w:rsidRPr="009F638C" w:rsidRDefault="002F7961" w:rsidP="002F7961">
      <w:pPr>
        <w:widowControl/>
        <w:numPr>
          <w:ilvl w:val="0"/>
          <w:numId w:val="1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Corne</w:t>
      </w:r>
      <w:r w:rsidR="00150CC9"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s</w:t>
      </w:r>
      <w:proofErr w:type="spellEnd"/>
      <w:r w:rsidR="00150CC9"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 xml:space="preserve"> </w:t>
      </w:r>
      <w:proofErr w:type="spellStart"/>
      <w:r w:rsidR="00150CC9"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Assadas</w:t>
      </w:r>
      <w:proofErr w:type="spellEnd"/>
      <w:r w:rsidR="00150CC9"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 xml:space="preserve"> Lam Kei(</w:t>
      </w:r>
      <w:proofErr w:type="spellStart"/>
      <w:r w:rsidR="00150CC9"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Rua</w:t>
      </w:r>
      <w:proofErr w:type="spellEnd"/>
      <w:r w:rsidR="00150CC9"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 xml:space="preserve"> da </w:t>
      </w:r>
      <w:proofErr w:type="spellStart"/>
      <w:r w:rsidR="00150CC9"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Emenda</w:t>
      </w:r>
      <w:proofErr w:type="spellEnd"/>
      <w:r w:rsidR="00150CC9"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 xml:space="preserve"> 4</w:t>
      </w:r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0)</w:t>
      </w:r>
      <w:r w:rsidR="00B85F27" w:rsidRPr="00B85F27">
        <w:t xml:space="preserve"> </w:t>
      </w:r>
      <w:r w:rsidR="00E55789">
        <w:t>(</w:t>
      </w:r>
      <w:proofErr w:type="spellStart"/>
      <w:r w:rsidR="00E55789">
        <w:t>r</w:t>
      </w:r>
      <w:r w:rsidR="00E55789">
        <w:rPr>
          <w:rFonts w:hint="eastAsia"/>
          <w:lang w:eastAsia="zh-TW"/>
        </w:rPr>
        <w:t>e</w:t>
      </w:r>
      <w:r w:rsidR="00B85F27">
        <w:t>ctificação</w:t>
      </w:r>
      <w:proofErr w:type="spellEnd"/>
      <w:r w:rsidR="00B85F27">
        <w:t>)</w:t>
      </w:r>
      <w:r w:rsidR="009F638C" w:rsidRPr="009F638C">
        <w:rPr>
          <w:rFonts w:ascii="Helvetica" w:hAnsi="Helvetica" w:cs="Helvetica" w:hint="eastAsia"/>
          <w:color w:val="0A0A0A"/>
          <w:kern w:val="0"/>
          <w:sz w:val="22"/>
          <w:szCs w:val="24"/>
          <w:lang w:eastAsia="zh-TW"/>
        </w:rPr>
        <w:t xml:space="preserve"> </w:t>
      </w:r>
      <w:r w:rsidR="009F638C">
        <w:rPr>
          <w:rFonts w:ascii="Helvetica" w:hAnsi="Helvetica" w:cs="Helvetica" w:hint="eastAsia"/>
          <w:color w:val="0A0A0A"/>
          <w:kern w:val="0"/>
          <w:sz w:val="22"/>
          <w:szCs w:val="24"/>
          <w:lang w:eastAsia="zh-TW"/>
        </w:rPr>
        <w:t>;</w:t>
      </w:r>
    </w:p>
    <w:p w:rsidR="009F638C" w:rsidRPr="009F638C" w:rsidRDefault="009F638C" w:rsidP="009F638C">
      <w:pPr>
        <w:widowControl/>
        <w:numPr>
          <w:ilvl w:val="0"/>
          <w:numId w:val="1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r w:rsidRPr="009F638C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CENTRO INTERNACIONAL DE MACAU (TORRE VI)</w:t>
      </w:r>
      <w:r w:rsidRPr="009F638C">
        <w:rPr>
          <w:rFonts w:ascii="Helvetica" w:hAnsi="Helvetica" w:cs="Helvetica" w:hint="eastAsia"/>
          <w:color w:val="0A0A0A"/>
          <w:kern w:val="0"/>
          <w:sz w:val="22"/>
          <w:szCs w:val="24"/>
          <w:lang w:eastAsia="zh-TW"/>
        </w:rPr>
        <w:t xml:space="preserve"> (</w:t>
      </w:r>
      <w:proofErr w:type="spellStart"/>
      <w:r w:rsidRPr="009F638C"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>Rua</w:t>
      </w:r>
      <w:proofErr w:type="spellEnd"/>
      <w:r w:rsidRPr="009F638C"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 xml:space="preserve"> de </w:t>
      </w:r>
      <w:proofErr w:type="spellStart"/>
      <w:r w:rsidRPr="009F638C"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>Malaca</w:t>
      </w:r>
      <w:proofErr w:type="spellEnd"/>
      <w:r w:rsidRPr="009F638C"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 xml:space="preserve"> 124 </w:t>
      </w:r>
      <w:proofErr w:type="spellStart"/>
      <w:r w:rsidRPr="009F638C"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>Rua</w:t>
      </w:r>
      <w:proofErr w:type="spellEnd"/>
      <w:r w:rsidRPr="009F638C"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 xml:space="preserve"> do Terminal </w:t>
      </w:r>
      <w:proofErr w:type="spellStart"/>
      <w:r w:rsidRPr="009F638C"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>Marítimo</w:t>
      </w:r>
      <w:proofErr w:type="spellEnd"/>
      <w:r w:rsidRPr="009F638C"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 xml:space="preserve"> 93-103 </w:t>
      </w:r>
      <w:proofErr w:type="spellStart"/>
      <w:r w:rsidRPr="009F638C"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>Travessa</w:t>
      </w:r>
      <w:proofErr w:type="spellEnd"/>
      <w:r w:rsidRPr="009F638C"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 xml:space="preserve"> da </w:t>
      </w:r>
      <w:proofErr w:type="spellStart"/>
      <w:r w:rsidRPr="009F638C"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>Amizade</w:t>
      </w:r>
      <w:proofErr w:type="spellEnd"/>
      <w:r w:rsidRPr="009F638C">
        <w:rPr>
          <w:rFonts w:ascii="Helvetica" w:hAnsi="Helvetica" w:cs="Helvetica"/>
          <w:color w:val="0A0A0A"/>
          <w:kern w:val="0"/>
          <w:sz w:val="22"/>
          <w:szCs w:val="24"/>
          <w:lang w:eastAsia="zh-TW"/>
        </w:rPr>
        <w:t xml:space="preserve"> 82</w:t>
      </w:r>
      <w:r>
        <w:rPr>
          <w:rFonts w:ascii="Helvetica" w:hAnsi="Helvetica" w:cs="Helvetica" w:hint="eastAsia"/>
          <w:color w:val="0A0A0A"/>
          <w:kern w:val="0"/>
          <w:sz w:val="22"/>
          <w:szCs w:val="24"/>
          <w:lang w:eastAsia="zh-TW"/>
        </w:rPr>
        <w:t>)</w:t>
      </w:r>
      <w:r w:rsidRPr="009F638C">
        <w:rPr>
          <w:rFonts w:ascii="Helvetica" w:hAnsi="Helvetica" w:cs="Helvetica" w:hint="eastAsia"/>
          <w:color w:val="0A0A0A"/>
          <w:kern w:val="0"/>
          <w:sz w:val="22"/>
          <w:szCs w:val="24"/>
          <w:lang w:eastAsia="zh-TW"/>
        </w:rPr>
        <w:t>;</w:t>
      </w:r>
    </w:p>
    <w:p w:rsidR="009F638C" w:rsidRPr="009F638C" w:rsidRDefault="009F638C" w:rsidP="009F638C">
      <w:pPr>
        <w:widowControl/>
        <w:numPr>
          <w:ilvl w:val="0"/>
          <w:numId w:val="1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r w:rsidRPr="009F638C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ED</w:t>
      </w:r>
      <w:r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F. JARDIN IAT LAI (BLOCO 6)</w:t>
      </w:r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 xml:space="preserve"> (</w:t>
      </w:r>
      <w:proofErr w:type="spellStart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Rua</w:t>
      </w:r>
      <w:proofErr w:type="spellEnd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 xml:space="preserve"> central de </w:t>
      </w:r>
      <w:proofErr w:type="spellStart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T</w:t>
      </w:r>
      <w:r w:rsidRPr="009F638C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’</w:t>
      </w:r>
      <w:r w:rsidRPr="009F638C">
        <w:rPr>
          <w:rFonts w:ascii="Helvetica" w:eastAsia="Times New Roman" w:hAnsi="Helvetica" w:cs="Helvetica" w:hint="eastAsia"/>
          <w:color w:val="0A0A0A"/>
          <w:kern w:val="0"/>
          <w:szCs w:val="24"/>
          <w:lang w:eastAsia="zh-TW"/>
        </w:rPr>
        <w:t>oi</w:t>
      </w:r>
      <w:proofErr w:type="spellEnd"/>
      <w:r w:rsidRPr="009F638C">
        <w:rPr>
          <w:rFonts w:ascii="Helvetica" w:eastAsia="Times New Roman" w:hAnsi="Helvetica" w:cs="Helvetica" w:hint="eastAsia"/>
          <w:color w:val="0A0A0A"/>
          <w:kern w:val="0"/>
          <w:szCs w:val="24"/>
          <w:lang w:eastAsia="zh-TW"/>
        </w:rPr>
        <w:t xml:space="preserve"> </w:t>
      </w:r>
      <w:proofErr w:type="spellStart"/>
      <w:r w:rsidRPr="009F638C">
        <w:rPr>
          <w:rFonts w:ascii="Helvetica" w:eastAsia="Times New Roman" w:hAnsi="Helvetica" w:cs="Helvetica" w:hint="eastAsia"/>
          <w:color w:val="0A0A0A"/>
          <w:kern w:val="0"/>
          <w:szCs w:val="24"/>
          <w:lang w:eastAsia="zh-TW"/>
        </w:rPr>
        <w:t>S</w:t>
      </w:r>
      <w:r w:rsidRPr="009F638C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à</w:t>
      </w:r>
      <w:r w:rsidRPr="009F638C">
        <w:rPr>
          <w:rFonts w:ascii="Helvetica" w:eastAsia="Times New Roman" w:hAnsi="Helvetica" w:cs="Helvetica" w:hint="eastAsia"/>
          <w:color w:val="0A0A0A"/>
          <w:kern w:val="0"/>
          <w:szCs w:val="24"/>
          <w:lang w:eastAsia="zh-TW"/>
        </w:rPr>
        <w:t>n</w:t>
      </w:r>
      <w:proofErr w:type="spellEnd"/>
      <w:r w:rsidRPr="009F638C">
        <w:rPr>
          <w:rFonts w:ascii="Helvetica" w:eastAsia="Times New Roman" w:hAnsi="Helvetica" w:cs="Helvetica" w:hint="eastAsia"/>
          <w:color w:val="0A0A0A"/>
          <w:kern w:val="0"/>
          <w:szCs w:val="24"/>
          <w:lang w:eastAsia="zh-TW"/>
        </w:rPr>
        <w:t xml:space="preserve"> 302</w:t>
      </w:r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)</w:t>
      </w:r>
      <w:r w:rsidRPr="009F638C">
        <w:rPr>
          <w:rFonts w:ascii="Helvetica" w:eastAsia="Times New Roman" w:hAnsi="Helvetica" w:cs="Helvetica" w:hint="eastAsia"/>
          <w:color w:val="0A0A0A"/>
          <w:kern w:val="0"/>
          <w:szCs w:val="24"/>
          <w:lang w:eastAsia="zh-TW"/>
        </w:rPr>
        <w:t xml:space="preserve"> ;</w:t>
      </w:r>
    </w:p>
    <w:p w:rsidR="009F638C" w:rsidRPr="002F7961" w:rsidRDefault="009F638C" w:rsidP="009F638C">
      <w:pPr>
        <w:widowControl/>
        <w:numPr>
          <w:ilvl w:val="0"/>
          <w:numId w:val="1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r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EDF. MAN LEI (BLOCOS S</w:t>
      </w:r>
      <w:proofErr w:type="gramStart"/>
      <w:r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,T</w:t>
      </w:r>
      <w:proofErr w:type="gramEnd"/>
      <w:r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)</w:t>
      </w:r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 xml:space="preserve"> (</w:t>
      </w:r>
      <w:proofErr w:type="spellStart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Rua</w:t>
      </w:r>
      <w:proofErr w:type="spellEnd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 xml:space="preserve"> </w:t>
      </w:r>
      <w:proofErr w:type="spellStart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Dois</w:t>
      </w:r>
      <w:proofErr w:type="spellEnd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 xml:space="preserve"> do </w:t>
      </w:r>
      <w:proofErr w:type="spellStart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Bairro</w:t>
      </w:r>
      <w:proofErr w:type="spellEnd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 xml:space="preserve"> da </w:t>
      </w:r>
      <w:proofErr w:type="spellStart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>Areia</w:t>
      </w:r>
      <w:proofErr w:type="spellEnd"/>
      <w:r>
        <w:rPr>
          <w:rFonts w:ascii="Helvetica" w:hAnsi="Helvetica" w:cs="Helvetica" w:hint="eastAsia"/>
          <w:color w:val="0A0A0A"/>
          <w:kern w:val="0"/>
          <w:szCs w:val="24"/>
          <w:lang w:eastAsia="zh-TW"/>
        </w:rPr>
        <w:t xml:space="preserve"> Preta6).</w:t>
      </w:r>
    </w:p>
    <w:p w:rsidR="002F7961" w:rsidRPr="002F7961" w:rsidRDefault="002F7961" w:rsidP="002F7961">
      <w:pPr>
        <w:widowControl/>
        <w:shd w:val="clear" w:color="auto" w:fill="FFFFFF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Medidas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controlo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:</w:t>
      </w:r>
    </w:p>
    <w:p w:rsidR="002F7961" w:rsidRPr="002F7961" w:rsidRDefault="002F7961" w:rsidP="002F7961">
      <w:pPr>
        <w:widowControl/>
        <w:numPr>
          <w:ilvl w:val="0"/>
          <w:numId w:val="2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Medidas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gestão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controlo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Código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Saúde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cor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vermelha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;</w:t>
      </w:r>
    </w:p>
    <w:p w:rsidR="000F1B91" w:rsidRPr="002F7961" w:rsidRDefault="000F1B91" w:rsidP="000F1B91">
      <w:pPr>
        <w:widowControl/>
        <w:numPr>
          <w:ilvl w:val="0"/>
          <w:numId w:val="2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bookmarkStart w:id="0" w:name="_GoBack"/>
      <w:bookmarkEnd w:id="0"/>
      <w:proofErr w:type="spellStart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Realização</w:t>
      </w:r>
      <w:proofErr w:type="spellEnd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no local de testes de </w:t>
      </w:r>
      <w:proofErr w:type="spellStart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ácido</w:t>
      </w:r>
      <w:proofErr w:type="spellEnd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nucleico</w:t>
      </w:r>
      <w:proofErr w:type="spellEnd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, </w:t>
      </w:r>
      <w:proofErr w:type="spellStart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realização</w:t>
      </w:r>
      <w:proofErr w:type="spellEnd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teste</w:t>
      </w:r>
      <w:proofErr w:type="spellEnd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ácido</w:t>
      </w:r>
      <w:proofErr w:type="spellEnd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nucleico</w:t>
      </w:r>
      <w:proofErr w:type="spellEnd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no 1º,3º,7º </w:t>
      </w:r>
      <w:proofErr w:type="spellStart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dia</w:t>
      </w:r>
      <w:proofErr w:type="spellEnd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e </w:t>
      </w:r>
      <w:proofErr w:type="spellStart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teste</w:t>
      </w:r>
      <w:proofErr w:type="spellEnd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rápido</w:t>
      </w:r>
      <w:proofErr w:type="spellEnd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antigénio</w:t>
      </w:r>
      <w:proofErr w:type="spellEnd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no 2º,4º,5º,6º </w:t>
      </w:r>
      <w:proofErr w:type="spellStart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dia</w:t>
      </w:r>
      <w:proofErr w:type="spellEnd"/>
      <w:r w:rsidRPr="000F1B9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;</w:t>
      </w:r>
    </w:p>
    <w:p w:rsidR="002F7961" w:rsidRPr="002F7961" w:rsidRDefault="002F7961" w:rsidP="002F7961">
      <w:pPr>
        <w:widowControl/>
        <w:numPr>
          <w:ilvl w:val="0"/>
          <w:numId w:val="2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Nestas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zonas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apenas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é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permitida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gram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</w:t>
      </w:r>
      <w:proofErr w:type="gram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entrada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pessoas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,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sendo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proibida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a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saída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todos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indivíduos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, com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excepção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dos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trabalhadores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da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prevenção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epidémica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.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indivíduos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das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zonas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afectadas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só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podem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levantar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materiais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e bens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consumo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atribuídos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nos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locais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indicados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, de forma a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reduzir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as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deslocações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tanto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quanto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possível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;</w:t>
      </w:r>
    </w:p>
    <w:p w:rsidR="002F7961" w:rsidRPr="002F7961" w:rsidRDefault="002F7961" w:rsidP="002F7961">
      <w:pPr>
        <w:widowControl/>
        <w:numPr>
          <w:ilvl w:val="0"/>
          <w:numId w:val="2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É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aplicada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uma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gestão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totalmente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restrita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fechada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.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indivíduos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afectados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serão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submetidos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gram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</w:t>
      </w:r>
      <w:proofErr w:type="gram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observação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médica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isolamento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no local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ou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encaminhados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para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um local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apropriado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para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observação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médica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gestão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centralizada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,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acordo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com a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que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seja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identificada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.</w:t>
      </w:r>
    </w:p>
    <w:p w:rsidR="002F7961" w:rsidRPr="002F7961" w:rsidRDefault="002F7961" w:rsidP="002F7961">
      <w:pPr>
        <w:widowControl/>
        <w:shd w:val="clear" w:color="auto" w:fill="FFFFFF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Zona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prevenção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 xml:space="preserve"> (</w:t>
      </w:r>
      <w:proofErr w:type="spell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código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saúde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cor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amarela</w:t>
      </w:r>
      <w:proofErr w:type="spellEnd"/>
      <w:r w:rsidRPr="002F7961">
        <w:rPr>
          <w:rFonts w:ascii="Helvetica" w:eastAsia="Times New Roman" w:hAnsi="Helvetica" w:cs="Helvetica"/>
          <w:b/>
          <w:bCs/>
          <w:color w:val="0A0A0A"/>
          <w:kern w:val="0"/>
          <w:szCs w:val="24"/>
          <w:lang w:eastAsia="zh-TW"/>
        </w:rPr>
        <w:t>)</w:t>
      </w:r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:</w:t>
      </w:r>
    </w:p>
    <w:p w:rsidR="002F7961" w:rsidRPr="002F7961" w:rsidRDefault="002F7961" w:rsidP="002F7961">
      <w:pPr>
        <w:widowControl/>
        <w:numPr>
          <w:ilvl w:val="0"/>
          <w:numId w:val="3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Edifício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SON LEI (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Rua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Manuel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Arriaga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n.º 64-64B);</w:t>
      </w:r>
    </w:p>
    <w:p w:rsidR="002F7961" w:rsidRPr="002F7961" w:rsidRDefault="002F7961" w:rsidP="002F7961">
      <w:pPr>
        <w:widowControl/>
        <w:numPr>
          <w:ilvl w:val="0"/>
          <w:numId w:val="3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Edifício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. CHUN FONG (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Rua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Afonso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Albuquerque n.º 38-40A); </w:t>
      </w:r>
    </w:p>
    <w:p w:rsidR="002F7961" w:rsidRPr="002F7961" w:rsidRDefault="002F7961" w:rsidP="002F7961">
      <w:pPr>
        <w:widowControl/>
        <w:numPr>
          <w:ilvl w:val="0"/>
          <w:numId w:val="3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Edifício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. TAK FONG (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Avenida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da Praia Grande n.º 241-253);</w:t>
      </w:r>
    </w:p>
    <w:p w:rsidR="002F7961" w:rsidRPr="002F7961" w:rsidRDefault="002F7961" w:rsidP="002F7961">
      <w:pPr>
        <w:widowControl/>
        <w:numPr>
          <w:ilvl w:val="0"/>
          <w:numId w:val="3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Edifício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TAK WENG (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Rua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Afonso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Alburquerque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n.º 37-45);</w:t>
      </w:r>
    </w:p>
    <w:p w:rsidR="002F7961" w:rsidRPr="002F7961" w:rsidRDefault="002F7961" w:rsidP="002F7961">
      <w:pPr>
        <w:widowControl/>
        <w:numPr>
          <w:ilvl w:val="0"/>
          <w:numId w:val="3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lastRenderedPageBreak/>
        <w:t>Edifício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MAN HENG (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Rua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Afonso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Alburquerque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n.º 31C-31G)</w:t>
      </w:r>
    </w:p>
    <w:p w:rsidR="002F7961" w:rsidRPr="002F7961" w:rsidRDefault="002F7961" w:rsidP="002F7961">
      <w:pPr>
        <w:widowControl/>
        <w:shd w:val="clear" w:color="auto" w:fill="FFFFFF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Medidas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controlo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:</w:t>
      </w:r>
    </w:p>
    <w:p w:rsidR="002F7961" w:rsidRPr="002F7961" w:rsidRDefault="002F7961" w:rsidP="002F7961">
      <w:pPr>
        <w:widowControl/>
        <w:numPr>
          <w:ilvl w:val="0"/>
          <w:numId w:val="4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Medidas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gestão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controlo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Código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Saúde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cor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amarela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;</w:t>
      </w:r>
    </w:p>
    <w:p w:rsidR="002F7961" w:rsidRPr="002F7961" w:rsidRDefault="002F7961" w:rsidP="002F7961">
      <w:pPr>
        <w:widowControl/>
        <w:numPr>
          <w:ilvl w:val="0"/>
          <w:numId w:val="4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Realização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no local de testes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ácido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nucleico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,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sendo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que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o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primeiro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teste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deve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ser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concluído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dentro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24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horas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;</w:t>
      </w:r>
    </w:p>
    <w:p w:rsidR="002F7961" w:rsidRPr="002F7961" w:rsidRDefault="002F7961" w:rsidP="002F7961">
      <w:pPr>
        <w:widowControl/>
        <w:numPr>
          <w:ilvl w:val="0"/>
          <w:numId w:val="4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Realização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cinco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testes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ácido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nucleico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com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intervalos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1, 2, 3, 5 e 7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dias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,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não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sendo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permitida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a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saída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antes da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conclusão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do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primeiro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teste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ácido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nucleico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;</w:t>
      </w:r>
    </w:p>
    <w:p w:rsidR="002F7961" w:rsidRPr="002F7961" w:rsidRDefault="002F7961" w:rsidP="002F7961">
      <w:pPr>
        <w:widowControl/>
        <w:numPr>
          <w:ilvl w:val="0"/>
          <w:numId w:val="4"/>
        </w:numPr>
        <w:shd w:val="clear" w:color="auto" w:fill="FFFFFF"/>
        <w:jc w:val="both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Restrição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à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saída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Macau e a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realização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da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supervisão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rigorosa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saúde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e auto-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gestão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saúde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por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um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período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de,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pelo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 </w:t>
      </w:r>
      <w:proofErr w:type="spell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menos</w:t>
      </w:r>
      <w:proofErr w:type="spell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 xml:space="preserve">, 14 </w:t>
      </w:r>
      <w:proofErr w:type="spellStart"/>
      <w:proofErr w:type="gramStart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dias</w:t>
      </w:r>
      <w:proofErr w:type="spellEnd"/>
      <w:proofErr w:type="gramEnd"/>
      <w:r w:rsidRPr="002F7961"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  <w:t>.</w:t>
      </w:r>
    </w:p>
    <w:p w:rsidR="002F7961" w:rsidRPr="002F7961" w:rsidRDefault="002F7961" w:rsidP="002F7961">
      <w:pPr>
        <w:widowControl/>
        <w:shd w:val="clear" w:color="auto" w:fill="FFFFFF"/>
        <w:spacing w:line="480" w:lineRule="atLeast"/>
        <w:rPr>
          <w:rFonts w:ascii="Helvetica" w:eastAsia="Times New Roman" w:hAnsi="Helvetica" w:cs="Helvetica"/>
          <w:color w:val="0A0A0A"/>
          <w:kern w:val="0"/>
          <w:szCs w:val="24"/>
          <w:lang w:eastAsia="zh-TW"/>
        </w:rPr>
      </w:pPr>
    </w:p>
    <w:p w:rsidR="00D02C06" w:rsidRDefault="00D02C06"/>
    <w:sectPr w:rsidR="00D02C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BF" w:rsidRDefault="006610BF" w:rsidP="00676748">
      <w:r>
        <w:separator/>
      </w:r>
    </w:p>
  </w:endnote>
  <w:endnote w:type="continuationSeparator" w:id="0">
    <w:p w:rsidR="006610BF" w:rsidRDefault="006610BF" w:rsidP="0067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BF" w:rsidRDefault="006610BF" w:rsidP="00676748">
      <w:r>
        <w:separator/>
      </w:r>
    </w:p>
  </w:footnote>
  <w:footnote w:type="continuationSeparator" w:id="0">
    <w:p w:rsidR="006610BF" w:rsidRDefault="006610BF" w:rsidP="0067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A35"/>
    <w:multiLevelType w:val="multilevel"/>
    <w:tmpl w:val="860A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9D114F"/>
    <w:multiLevelType w:val="multilevel"/>
    <w:tmpl w:val="5B2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C27150"/>
    <w:multiLevelType w:val="multilevel"/>
    <w:tmpl w:val="9FB0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77A0B"/>
    <w:multiLevelType w:val="multilevel"/>
    <w:tmpl w:val="A8D6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61"/>
    <w:rsid w:val="000F1B91"/>
    <w:rsid w:val="00150CC9"/>
    <w:rsid w:val="00281D9B"/>
    <w:rsid w:val="002F758B"/>
    <w:rsid w:val="002F7961"/>
    <w:rsid w:val="005522DE"/>
    <w:rsid w:val="006610BF"/>
    <w:rsid w:val="00676748"/>
    <w:rsid w:val="008C2382"/>
    <w:rsid w:val="009F638C"/>
    <w:rsid w:val="00B85F27"/>
    <w:rsid w:val="00D02C06"/>
    <w:rsid w:val="00E55789"/>
    <w:rsid w:val="00E965E3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F79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TW"/>
    </w:rPr>
  </w:style>
  <w:style w:type="character" w:styleId="a3">
    <w:name w:val="Strong"/>
    <w:basedOn w:val="a0"/>
    <w:uiPriority w:val="22"/>
    <w:qFormat/>
    <w:rsid w:val="002F7961"/>
    <w:rPr>
      <w:b/>
      <w:bCs/>
    </w:rPr>
  </w:style>
  <w:style w:type="character" w:customStyle="1" w:styleId="a2alabel">
    <w:name w:val="a2a_label"/>
    <w:basedOn w:val="a0"/>
    <w:rsid w:val="002F7961"/>
  </w:style>
  <w:style w:type="paragraph" w:styleId="a4">
    <w:name w:val="header"/>
    <w:basedOn w:val="a"/>
    <w:link w:val="a5"/>
    <w:uiPriority w:val="99"/>
    <w:unhideWhenUsed/>
    <w:rsid w:val="00676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6748"/>
    <w:rPr>
      <w:sz w:val="20"/>
      <w:szCs w:val="20"/>
      <w:lang w:eastAsia="zh-HK"/>
    </w:rPr>
  </w:style>
  <w:style w:type="paragraph" w:styleId="a6">
    <w:name w:val="footer"/>
    <w:basedOn w:val="a"/>
    <w:link w:val="a7"/>
    <w:uiPriority w:val="99"/>
    <w:unhideWhenUsed/>
    <w:rsid w:val="00676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6748"/>
    <w:rPr>
      <w:sz w:val="20"/>
      <w:szCs w:val="20"/>
      <w:lang w:eastAsia="zh-H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F79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TW"/>
    </w:rPr>
  </w:style>
  <w:style w:type="character" w:styleId="a3">
    <w:name w:val="Strong"/>
    <w:basedOn w:val="a0"/>
    <w:uiPriority w:val="22"/>
    <w:qFormat/>
    <w:rsid w:val="002F7961"/>
    <w:rPr>
      <w:b/>
      <w:bCs/>
    </w:rPr>
  </w:style>
  <w:style w:type="character" w:customStyle="1" w:styleId="a2alabel">
    <w:name w:val="a2a_label"/>
    <w:basedOn w:val="a0"/>
    <w:rsid w:val="002F7961"/>
  </w:style>
  <w:style w:type="paragraph" w:styleId="a4">
    <w:name w:val="header"/>
    <w:basedOn w:val="a"/>
    <w:link w:val="a5"/>
    <w:uiPriority w:val="99"/>
    <w:unhideWhenUsed/>
    <w:rsid w:val="00676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6748"/>
    <w:rPr>
      <w:sz w:val="20"/>
      <w:szCs w:val="20"/>
      <w:lang w:eastAsia="zh-HK"/>
    </w:rPr>
  </w:style>
  <w:style w:type="paragraph" w:styleId="a6">
    <w:name w:val="footer"/>
    <w:basedOn w:val="a"/>
    <w:link w:val="a7"/>
    <w:uiPriority w:val="99"/>
    <w:unhideWhenUsed/>
    <w:rsid w:val="00676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6748"/>
    <w:rPr>
      <w:sz w:val="20"/>
      <w:szCs w:val="2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dlaprp</dc:creator>
  <cp:lastModifiedBy>Administrator</cp:lastModifiedBy>
  <cp:revision>2</cp:revision>
  <dcterms:created xsi:type="dcterms:W3CDTF">2022-06-20T16:07:00Z</dcterms:created>
  <dcterms:modified xsi:type="dcterms:W3CDTF">2022-06-20T16:07:00Z</dcterms:modified>
</cp:coreProperties>
</file>